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F98F" w14:textId="52F193BB" w:rsidR="0070443C" w:rsidRDefault="0070443C">
      <w:r w:rsidRPr="0070443C">
        <w:t xml:space="preserve">Hayashi Wayland Investment Services. (“HWIS”) is a California registered investment adviser firm. Such registration does not imply a certain level of skill or training.  For a copy of HWIS’s current Form ADV that includes a description of our services provided, fees charged, and other important information, please </w:t>
      </w:r>
      <w:hyperlink r:id="rId7" w:history="1">
        <w:r w:rsidRPr="0070443C">
          <w:rPr>
            <w:rStyle w:val="Hyperlink"/>
          </w:rPr>
          <w:t>click here</w:t>
        </w:r>
      </w:hyperlink>
      <w:r w:rsidRPr="0070443C">
        <w:t xml:space="preserve">.  </w:t>
      </w:r>
    </w:p>
    <w:p w14:paraId="3C6FC69A" w14:textId="0AEB6AED" w:rsidR="00B4259D" w:rsidRPr="00B4259D" w:rsidRDefault="00B4259D" w:rsidP="00B4259D">
      <w:r w:rsidRPr="00B4259D">
        <w:t>Past performance does not indicate future performance and there is a possibility of a loss.</w:t>
      </w:r>
      <w:r>
        <w:t xml:space="preserve">  </w:t>
      </w:r>
      <w:r w:rsidR="0070443C" w:rsidRPr="0070443C">
        <w:t>Th</w:t>
      </w:r>
      <w:r w:rsidR="0070443C">
        <w:t xml:space="preserve">is </w:t>
      </w:r>
      <w:r w:rsidR="007636C0">
        <w:t>newsletter</w:t>
      </w:r>
      <w:r w:rsidR="0070443C">
        <w:t xml:space="preserve"> is being provided for informational purposes only and should not be considered specific investment advice or recommendation to buy or sell any securities.  </w:t>
      </w:r>
      <w:r w:rsidRPr="00B4259D">
        <w:t>No investment decision should be made based solely on the information contained within</w:t>
      </w:r>
      <w:r w:rsidR="007636C0">
        <w:t>.</w:t>
      </w:r>
    </w:p>
    <w:p w14:paraId="2386B324" w14:textId="224837CA" w:rsidR="00B4259D" w:rsidRPr="00B4259D" w:rsidRDefault="00B4259D" w:rsidP="00B4259D">
      <w:r w:rsidRPr="00B4259D">
        <w:t>While</w:t>
      </w:r>
      <w:r>
        <w:t xml:space="preserve"> some of</w:t>
      </w:r>
      <w:r w:rsidRPr="00B4259D">
        <w:t xml:space="preserve"> the information herein has been obtained from </w:t>
      </w:r>
      <w:r>
        <w:t>third-party</w:t>
      </w:r>
      <w:r w:rsidRPr="00B4259D">
        <w:t xml:space="preserve"> sources which HWIS believes to be reliable; the firm cannot and does not guarantee the accuracy, adequacy</w:t>
      </w:r>
      <w:r>
        <w:t>,</w:t>
      </w:r>
      <w:r w:rsidRPr="00B4259D">
        <w:t xml:space="preserve"> or completeness of any such information. The </w:t>
      </w:r>
      <w:r>
        <w:t>opinions within can</w:t>
      </w:r>
      <w:r w:rsidRPr="00B4259D">
        <w:t xml:space="preserve"> change without notice, and HWIS has no obligation to update this material.  </w:t>
      </w:r>
      <w:r w:rsidR="0070443C" w:rsidRPr="0070443C">
        <w:t>Any forecasts represent future expectations and actual returns, volatilities</w:t>
      </w:r>
      <w:r>
        <w:t>,</w:t>
      </w:r>
      <w:r w:rsidR="0070443C" w:rsidRPr="0070443C">
        <w:t xml:space="preserve"> and correlations will differ from forecasts. </w:t>
      </w:r>
    </w:p>
    <w:p w14:paraId="01933104" w14:textId="269AA496" w:rsidR="00B4259D" w:rsidRDefault="00B4259D" w:rsidP="00B4259D">
      <w:r w:rsidRPr="00B4259D">
        <w:t>HWIS does not provide tax or legal advice.  To the extent that any material herein concerns tax or legal matters, such information is not intended to be solely relied upon nor used for the purpose of making tax and/or legal decisions without first seeking independent advice from a tax and/or legal professional.</w:t>
      </w:r>
    </w:p>
    <w:p w14:paraId="15A8E496" w14:textId="3A646A2B" w:rsidR="003C34A4" w:rsidRDefault="003C34A4" w:rsidP="00B4259D">
      <w:pPr>
        <w:rPr>
          <w:i/>
          <w:iCs/>
        </w:rPr>
      </w:pPr>
      <w:r>
        <w:rPr>
          <w:i/>
          <w:iCs/>
        </w:rPr>
        <w:t>Index Descriptions</w:t>
      </w:r>
    </w:p>
    <w:p w14:paraId="4488D88D" w14:textId="6F424065" w:rsidR="008E7610" w:rsidRDefault="008E7610" w:rsidP="008E7610">
      <w:pPr>
        <w:rPr>
          <w:b/>
          <w:bCs/>
        </w:rPr>
      </w:pPr>
      <w:bookmarkStart w:id="0" w:name="_Hlk89950419"/>
      <w:r w:rsidRPr="003F17AF">
        <w:rPr>
          <w:b/>
          <w:bCs/>
        </w:rPr>
        <w:t>Bloomberg Barclays US Agg Total Return USD</w:t>
      </w:r>
    </w:p>
    <w:p w14:paraId="2B1DC559" w14:textId="22D7EC6F" w:rsidR="008E7610" w:rsidRPr="008E7610" w:rsidRDefault="008E7610" w:rsidP="003C34A4">
      <w:r w:rsidRPr="00402A31">
        <w:t xml:space="preserve">The Bloomberg US Aggregate Bond Index is a broad-based flagship benchmark that measures the investment grade, US dollar-denominated, fixed-rate taxable bond market. The index includes Treasuries, government-related and corporate securities, MBS (agency fixed-rate pass-throughs), ABS and CMBS (agency and non-agency). </w:t>
      </w:r>
    </w:p>
    <w:p w14:paraId="539A1D79" w14:textId="4376440F" w:rsidR="00DE230E" w:rsidRDefault="00DE230E" w:rsidP="003C34A4">
      <w:pPr>
        <w:rPr>
          <w:b/>
          <w:bCs/>
        </w:rPr>
      </w:pPr>
      <w:r w:rsidRPr="004568D3">
        <w:rPr>
          <w:b/>
          <w:bCs/>
          <w:color w:val="202124"/>
          <w:shd w:val="clear" w:color="auto" w:fill="FFFFFF"/>
        </w:rPr>
        <w:t>Dow Jones Industrial Average</w:t>
      </w:r>
      <w:r w:rsidRPr="004568D3">
        <w:rPr>
          <w:color w:val="202124"/>
          <w:shd w:val="clear" w:color="auto" w:fill="FFFFFF"/>
        </w:rPr>
        <w:t> (DJIA) is a widely</w:t>
      </w:r>
      <w:r w:rsidR="005E78C8">
        <w:rPr>
          <w:color w:val="202124"/>
          <w:shd w:val="clear" w:color="auto" w:fill="FFFFFF"/>
        </w:rPr>
        <w:t xml:space="preserve"> </w:t>
      </w:r>
      <w:r w:rsidRPr="004568D3">
        <w:rPr>
          <w:color w:val="202124"/>
          <w:shd w:val="clear" w:color="auto" w:fill="FFFFFF"/>
        </w:rPr>
        <w:t>watched benchmark index in the U.S. for blue-chip stocks. The DJIA is a price-weighted index that tracks 30 large, publicly</w:t>
      </w:r>
      <w:r w:rsidR="005E78C8">
        <w:rPr>
          <w:color w:val="202124"/>
          <w:shd w:val="clear" w:color="auto" w:fill="FFFFFF"/>
        </w:rPr>
        <w:t xml:space="preserve"> </w:t>
      </w:r>
      <w:r w:rsidRPr="004568D3">
        <w:rPr>
          <w:color w:val="202124"/>
          <w:shd w:val="clear" w:color="auto" w:fill="FFFFFF"/>
        </w:rPr>
        <w:t>owned companies trading on the New York Stock Exchange (NYSE) and the Nasdaq.</w:t>
      </w:r>
    </w:p>
    <w:bookmarkEnd w:id="0"/>
    <w:p w14:paraId="3949BBC7" w14:textId="40FC7229" w:rsidR="003C34A4" w:rsidRPr="00B4259D" w:rsidRDefault="003C34A4" w:rsidP="00B4259D">
      <w:pPr>
        <w:rPr>
          <w:bCs/>
        </w:rPr>
      </w:pPr>
      <w:r w:rsidRPr="003C34A4">
        <w:rPr>
          <w:b/>
          <w:bCs/>
        </w:rPr>
        <w:t xml:space="preserve">MSCI EAFE Index </w:t>
      </w:r>
      <w:r w:rsidRPr="003C34A4">
        <w:rPr>
          <w:bCs/>
        </w:rPr>
        <w:t xml:space="preserve">is an equity index which captures large and mid-cap representation across 21 Developed Markets countries around the world, excluding the US and Canada. With 924 constituents, the index covers approximately 85% of the free float-adjusted market capitalization in each country. </w:t>
      </w:r>
      <w:r w:rsidRPr="003C34A4">
        <w:t>Developed Markets countries in the MSCI EAFE Index include: Australia, Austria, Belgium, Denmark, Finland, France, Germany, Hong Kong, Ireland, Israel, Italy, Japan, the Netherlands, New Zealand, Norway, Portugal, Singapore, Spain, Sweden, Switzerland and the UK.</w:t>
      </w:r>
    </w:p>
    <w:p w14:paraId="4DB400A0" w14:textId="7C1FE46D" w:rsidR="005E78C8" w:rsidRPr="00F3683E" w:rsidRDefault="005E78C8" w:rsidP="005E78C8">
      <w:pPr>
        <w:rPr>
          <w:b/>
          <w:bCs/>
        </w:rPr>
      </w:pPr>
      <w:r w:rsidRPr="00F3683E">
        <w:rPr>
          <w:b/>
          <w:bCs/>
          <w:color w:val="202124"/>
          <w:shd w:val="clear" w:color="auto" w:fill="FFFFFF"/>
        </w:rPr>
        <w:t>Nasdaq Composite Index</w:t>
      </w:r>
      <w:r w:rsidRPr="00F3683E">
        <w:rPr>
          <w:color w:val="202124"/>
          <w:shd w:val="clear" w:color="auto" w:fill="FFFFFF"/>
        </w:rPr>
        <w:t xml:space="preserve"> is the market capitalization-weighted index of over 2,500 common equities listed on the Nasdaq stock exchange. The types of securities in the index include American depositary receipts, common stocks, real estate investment trusts (REITs) and tracking stocks, as well as limited partnership interests</w:t>
      </w:r>
      <w:r>
        <w:rPr>
          <w:color w:val="202124"/>
          <w:shd w:val="clear" w:color="auto" w:fill="FFFFFF"/>
        </w:rPr>
        <w:t>.  T</w:t>
      </w:r>
      <w:r w:rsidRPr="00F3683E">
        <w:rPr>
          <w:color w:val="202124"/>
          <w:shd w:val="clear" w:color="auto" w:fill="FFFFFF"/>
        </w:rPr>
        <w:t>he index includes all Nasdaq-listed stocks that are not derivatives, preferred shares, funds, exchange-traded funds (ETFs) or debenture securities.</w:t>
      </w:r>
    </w:p>
    <w:p w14:paraId="64E9B739" w14:textId="5D6D0A02" w:rsidR="005E78C8" w:rsidRDefault="005E78C8" w:rsidP="005E78C8">
      <w:r w:rsidRPr="005E78C8">
        <w:rPr>
          <w:b/>
          <w:bCs/>
        </w:rPr>
        <w:t>Russell 2000® Index</w:t>
      </w:r>
      <w:r w:rsidRPr="0042295A">
        <w:t xml:space="preserve"> measures the performance of the small-cap segment of the US equity universe. The Russell 2000® Index is a subset of the Russell 3000® Index representing approximately 10% of the total market capitalization of that index. It includes approximately 2,000 of the smallest securities based on a </w:t>
      </w:r>
      <w:r w:rsidRPr="0042295A">
        <w:lastRenderedPageBreak/>
        <w:t>combination of their market cap and current index membership. The Russell 2000® is constructed to provide a comprehensive and unbiased small-cap barometer and is completely reconstituted annually to ensure larger stocks do not distort the performance and characteristics of the true small-cap opportunity set.</w:t>
      </w:r>
    </w:p>
    <w:p w14:paraId="2D691633" w14:textId="77777777" w:rsidR="005E78C8" w:rsidRPr="003C34A4" w:rsidRDefault="005E78C8" w:rsidP="005E78C8">
      <w:r w:rsidRPr="003C34A4">
        <w:rPr>
          <w:b/>
          <w:bCs/>
        </w:rPr>
        <w:t>S&amp;P 500</w:t>
      </w:r>
      <w:r>
        <w:rPr>
          <w:b/>
          <w:bCs/>
        </w:rPr>
        <w:t xml:space="preserve"> Index</w:t>
      </w:r>
      <w:r w:rsidRPr="00552564">
        <w:t xml:space="preserve"> is widely regarded as the best single gauge of large-cap U.S. equities. According to our Annual Survey of Assets, an estimated USD 13.5 trillion is indexed or benchmarked to the index, with indexed assets comprising approximately USD 5.4 trillion of this total (as of Dec. 31, 2020). The index includes 500 leading companies and covers approximately 80% of available market capitalization.</w:t>
      </w:r>
    </w:p>
    <w:p w14:paraId="73EF9AC3" w14:textId="77777777" w:rsidR="005E78C8" w:rsidRDefault="005E78C8" w:rsidP="005E78C8"/>
    <w:p w14:paraId="66E8BB1C" w14:textId="77777777" w:rsidR="005E78C8" w:rsidRDefault="005E78C8" w:rsidP="00D65FE4">
      <w:pPr>
        <w:rPr>
          <w:b/>
          <w:bCs/>
        </w:rPr>
      </w:pPr>
    </w:p>
    <w:p w14:paraId="2059BF84" w14:textId="77777777" w:rsidR="005E78C8" w:rsidRDefault="005E78C8" w:rsidP="00D65FE4">
      <w:pPr>
        <w:rPr>
          <w:b/>
          <w:bCs/>
        </w:rPr>
      </w:pPr>
    </w:p>
    <w:p w14:paraId="507E4375" w14:textId="77777777" w:rsidR="00B4259D" w:rsidRPr="0070443C" w:rsidRDefault="00B4259D"/>
    <w:sectPr w:rsidR="00B4259D" w:rsidRPr="007044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BE72" w14:textId="77777777" w:rsidR="00EA3B25" w:rsidRDefault="00EA3B25" w:rsidP="00EA3B25">
      <w:pPr>
        <w:spacing w:after="0" w:line="240" w:lineRule="auto"/>
      </w:pPr>
      <w:r>
        <w:separator/>
      </w:r>
    </w:p>
  </w:endnote>
  <w:endnote w:type="continuationSeparator" w:id="0">
    <w:p w14:paraId="78D2ACE4" w14:textId="77777777" w:rsidR="00EA3B25" w:rsidRDefault="00EA3B25" w:rsidP="00EA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9165" w14:textId="77777777" w:rsidR="00EA3B25" w:rsidRDefault="00EA3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2512" w14:textId="77777777" w:rsidR="00EA3B25" w:rsidRDefault="00EA3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329" w14:textId="77777777" w:rsidR="00EA3B25" w:rsidRDefault="00EA3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83BB" w14:textId="77777777" w:rsidR="00EA3B25" w:rsidRDefault="00EA3B25" w:rsidP="00EA3B25">
      <w:pPr>
        <w:spacing w:after="0" w:line="240" w:lineRule="auto"/>
      </w:pPr>
      <w:r>
        <w:separator/>
      </w:r>
    </w:p>
  </w:footnote>
  <w:footnote w:type="continuationSeparator" w:id="0">
    <w:p w14:paraId="30B17B1C" w14:textId="77777777" w:rsidR="00EA3B25" w:rsidRDefault="00EA3B25" w:rsidP="00EA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3CB8" w14:textId="77777777" w:rsidR="00EA3B25" w:rsidRDefault="00EA3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A058" w14:textId="77777777" w:rsidR="00EA3B25" w:rsidRDefault="00EA3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D910" w14:textId="77777777" w:rsidR="00EA3B25" w:rsidRDefault="00EA3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3C"/>
    <w:rsid w:val="00391121"/>
    <w:rsid w:val="003C34A4"/>
    <w:rsid w:val="00513FAD"/>
    <w:rsid w:val="005B316D"/>
    <w:rsid w:val="005E5929"/>
    <w:rsid w:val="005E78C8"/>
    <w:rsid w:val="0070443C"/>
    <w:rsid w:val="00705C77"/>
    <w:rsid w:val="007636C0"/>
    <w:rsid w:val="007C0726"/>
    <w:rsid w:val="008654C5"/>
    <w:rsid w:val="008C5DCA"/>
    <w:rsid w:val="008E7610"/>
    <w:rsid w:val="00A1793E"/>
    <w:rsid w:val="00B4259D"/>
    <w:rsid w:val="00C25951"/>
    <w:rsid w:val="00D65FE4"/>
    <w:rsid w:val="00DA168C"/>
    <w:rsid w:val="00DE230E"/>
    <w:rsid w:val="00EA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5E13"/>
  <w15:chartTrackingRefBased/>
  <w15:docId w15:val="{E5758C1C-19A0-4CDF-B6BB-9396DAC3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43C"/>
    <w:rPr>
      <w:color w:val="0563C1" w:themeColor="hyperlink"/>
      <w:u w:val="single"/>
    </w:rPr>
  </w:style>
  <w:style w:type="character" w:styleId="CommentReference">
    <w:name w:val="annotation reference"/>
    <w:basedOn w:val="DefaultParagraphFont"/>
    <w:uiPriority w:val="99"/>
    <w:semiHidden/>
    <w:unhideWhenUsed/>
    <w:rsid w:val="0070443C"/>
    <w:rPr>
      <w:sz w:val="16"/>
      <w:szCs w:val="16"/>
    </w:rPr>
  </w:style>
  <w:style w:type="paragraph" w:styleId="CommentText">
    <w:name w:val="annotation text"/>
    <w:basedOn w:val="Normal"/>
    <w:link w:val="CommentTextChar"/>
    <w:uiPriority w:val="99"/>
    <w:semiHidden/>
    <w:unhideWhenUsed/>
    <w:rsid w:val="0070443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0443C"/>
    <w:rPr>
      <w:sz w:val="20"/>
      <w:szCs w:val="20"/>
    </w:rPr>
  </w:style>
  <w:style w:type="character" w:styleId="UnresolvedMention">
    <w:name w:val="Unresolved Mention"/>
    <w:basedOn w:val="DefaultParagraphFont"/>
    <w:uiPriority w:val="99"/>
    <w:semiHidden/>
    <w:unhideWhenUsed/>
    <w:rsid w:val="0070443C"/>
    <w:rPr>
      <w:color w:val="605E5C"/>
      <w:shd w:val="clear" w:color="auto" w:fill="E1DFDD"/>
    </w:rPr>
  </w:style>
  <w:style w:type="character" w:styleId="FollowedHyperlink">
    <w:name w:val="FollowedHyperlink"/>
    <w:basedOn w:val="DefaultParagraphFont"/>
    <w:uiPriority w:val="99"/>
    <w:semiHidden/>
    <w:unhideWhenUsed/>
    <w:rsid w:val="0070443C"/>
    <w:rPr>
      <w:color w:val="954F72" w:themeColor="followedHyperlink"/>
      <w:u w:val="single"/>
    </w:rPr>
  </w:style>
  <w:style w:type="paragraph" w:styleId="Header">
    <w:name w:val="header"/>
    <w:basedOn w:val="Normal"/>
    <w:link w:val="HeaderChar"/>
    <w:uiPriority w:val="99"/>
    <w:unhideWhenUsed/>
    <w:rsid w:val="00EA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B25"/>
  </w:style>
  <w:style w:type="paragraph" w:styleId="Footer">
    <w:name w:val="footer"/>
    <w:basedOn w:val="Normal"/>
    <w:link w:val="FooterChar"/>
    <w:uiPriority w:val="99"/>
    <w:unhideWhenUsed/>
    <w:rsid w:val="00EA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dviserinfo.sec.gov/firm/summary/16709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1376-4987-401E-94AB-5FF6333A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3508</Characters>
  <Application>Microsoft Office Word</Application>
  <DocSecurity>0</DocSecurity>
  <PresentationFormat/>
  <Lines>50</Lines>
  <Paragraphs>12</Paragraphs>
  <ScaleCrop>false</ScaleCrop>
  <HeadingPairs>
    <vt:vector size="2" baseType="variant">
      <vt:variant>
        <vt:lpstr>Title</vt:lpstr>
      </vt:variant>
      <vt:variant>
        <vt:i4>1</vt:i4>
      </vt:variant>
    </vt:vector>
  </HeadingPairs>
  <TitlesOfParts>
    <vt:vector size="1" baseType="lpstr">
      <vt:lpstr>Disclosures for Branded Market Commentary 10.12.2021 (00261498).DOCX</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Disclosures for Market Insights for February 18, 2022  (00268698.DOCX;1)</dc:title>
  <dc:subject>00268698.DOCX</dc:subject>
  <dc:creator>Tina Mitchell</dc:creator>
  <cp:keywords/>
  <dc:description/>
  <cp:lastModifiedBy>Tina Mitchell</cp:lastModifiedBy>
  <cp:revision>4</cp:revision>
  <dcterms:created xsi:type="dcterms:W3CDTF">2022-02-27T22:55:00Z</dcterms:created>
  <dcterms:modified xsi:type="dcterms:W3CDTF">2022-02-27T23:03:00Z</dcterms:modified>
</cp:coreProperties>
</file>